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5A" w:rsidRDefault="009E795A" w:rsidP="00C038BA">
      <w:pPr>
        <w:shd w:val="clear" w:color="auto" w:fill="FFFFFF"/>
        <w:spacing w:after="0" w:line="276" w:lineRule="auto"/>
        <w:ind w:left="7796" w:firstLine="284"/>
        <w:jc w:val="center"/>
        <w:rPr>
          <w:rFonts w:ascii="Arial" w:eastAsia="Times New Roman" w:hAnsi="Arial" w:cs="Arial"/>
          <w:szCs w:val="75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Cs w:val="75"/>
          <w:lang w:eastAsia="ru-RU"/>
        </w:rPr>
        <w:t>Утверждено</w:t>
      </w:r>
    </w:p>
    <w:p w:rsidR="009E795A" w:rsidRDefault="009E795A" w:rsidP="00C038BA">
      <w:pPr>
        <w:shd w:val="clear" w:color="auto" w:fill="FFFFFF"/>
        <w:spacing w:after="0" w:line="276" w:lineRule="auto"/>
        <w:ind w:left="7796" w:firstLine="284"/>
        <w:jc w:val="center"/>
        <w:rPr>
          <w:rFonts w:ascii="Arial" w:eastAsia="Times New Roman" w:hAnsi="Arial" w:cs="Arial"/>
          <w:szCs w:val="75"/>
          <w:lang w:eastAsia="ru-RU"/>
        </w:rPr>
      </w:pPr>
      <w:r>
        <w:rPr>
          <w:rFonts w:ascii="Arial" w:eastAsia="Times New Roman" w:hAnsi="Arial" w:cs="Arial"/>
          <w:szCs w:val="75"/>
          <w:lang w:eastAsia="ru-RU"/>
        </w:rPr>
        <w:t xml:space="preserve">Приказом директора </w:t>
      </w:r>
    </w:p>
    <w:p w:rsidR="009E795A" w:rsidRDefault="009E795A" w:rsidP="00C038BA">
      <w:pPr>
        <w:shd w:val="clear" w:color="auto" w:fill="FFFFFF"/>
        <w:spacing w:after="0" w:line="276" w:lineRule="auto"/>
        <w:ind w:left="7796" w:firstLine="284"/>
        <w:jc w:val="center"/>
        <w:rPr>
          <w:rFonts w:ascii="Arial" w:eastAsia="Times New Roman" w:hAnsi="Arial" w:cs="Arial"/>
          <w:szCs w:val="75"/>
          <w:lang w:eastAsia="ru-RU"/>
        </w:rPr>
      </w:pPr>
      <w:r>
        <w:rPr>
          <w:rFonts w:ascii="Arial" w:eastAsia="Times New Roman" w:hAnsi="Arial" w:cs="Arial"/>
          <w:szCs w:val="75"/>
          <w:lang w:eastAsia="ru-RU"/>
        </w:rPr>
        <w:t>ООО «ЭОВЦМЭ»</w:t>
      </w:r>
    </w:p>
    <w:p w:rsidR="009E795A" w:rsidRDefault="009E795A" w:rsidP="00C038BA">
      <w:pPr>
        <w:shd w:val="clear" w:color="auto" w:fill="FFFFFF"/>
        <w:spacing w:after="0" w:line="276" w:lineRule="auto"/>
        <w:ind w:left="7796" w:firstLine="284"/>
        <w:jc w:val="center"/>
        <w:rPr>
          <w:rFonts w:ascii="Arial" w:eastAsia="Times New Roman" w:hAnsi="Arial" w:cs="Arial"/>
          <w:szCs w:val="75"/>
          <w:lang w:eastAsia="ru-RU"/>
        </w:rPr>
      </w:pPr>
      <w:proofErr w:type="spellStart"/>
      <w:r>
        <w:rPr>
          <w:rFonts w:ascii="Arial" w:eastAsia="Times New Roman" w:hAnsi="Arial" w:cs="Arial"/>
          <w:szCs w:val="75"/>
          <w:lang w:eastAsia="ru-RU"/>
        </w:rPr>
        <w:t>Клениной</w:t>
      </w:r>
      <w:proofErr w:type="spellEnd"/>
      <w:r>
        <w:rPr>
          <w:rFonts w:ascii="Arial" w:eastAsia="Times New Roman" w:hAnsi="Arial" w:cs="Arial"/>
          <w:szCs w:val="75"/>
          <w:lang w:eastAsia="ru-RU"/>
        </w:rPr>
        <w:t xml:space="preserve"> И.И.</w:t>
      </w:r>
    </w:p>
    <w:p w:rsidR="001773F8" w:rsidRDefault="00D36F17" w:rsidP="00C038B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32"/>
          <w:szCs w:val="75"/>
          <w:lang w:eastAsia="ru-RU"/>
        </w:rPr>
      </w:pPr>
      <w:r w:rsidRPr="009E795A">
        <w:rPr>
          <w:rFonts w:ascii="Arial" w:eastAsia="Times New Roman" w:hAnsi="Arial" w:cs="Arial"/>
          <w:color w:val="2E74B5" w:themeColor="accent1" w:themeShade="BF"/>
          <w:sz w:val="32"/>
          <w:szCs w:val="75"/>
          <w:lang w:eastAsia="ru-RU"/>
        </w:rPr>
        <w:t xml:space="preserve">Порядок обращения с персональными данными в </w:t>
      </w:r>
      <w:r w:rsidR="005D48AD" w:rsidRPr="009E795A">
        <w:rPr>
          <w:rFonts w:ascii="Arial" w:eastAsia="Times New Roman" w:hAnsi="Arial" w:cs="Arial"/>
          <w:color w:val="2E74B5" w:themeColor="accent1" w:themeShade="BF"/>
          <w:sz w:val="32"/>
          <w:szCs w:val="75"/>
          <w:lang w:eastAsia="ru-RU"/>
        </w:rPr>
        <w:t>Экспертной</w:t>
      </w:r>
      <w:r w:rsidR="001773F8" w:rsidRPr="009E795A">
        <w:rPr>
          <w:rFonts w:ascii="Arial" w:eastAsia="Times New Roman" w:hAnsi="Arial" w:cs="Arial"/>
          <w:color w:val="2E74B5" w:themeColor="accent1" w:themeShade="BF"/>
          <w:sz w:val="32"/>
          <w:szCs w:val="75"/>
          <w:lang w:eastAsia="ru-RU"/>
        </w:rPr>
        <w:t xml:space="preserve"> организации «Воронежский центр медицинских экспертиз»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Политика в отношении обработк</w:t>
      </w:r>
      <w:r w:rsidR="009E795A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и и защиты персональных данных </w:t>
      </w: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в </w:t>
      </w:r>
      <w:r w:rsidR="009E795A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                  </w:t>
      </w:r>
      <w:r w:rsidRPr="00D36F17">
        <w:rPr>
          <w:rFonts w:ascii="Tahoma" w:eastAsia="Times New Roman" w:hAnsi="Tahoma" w:cs="Tahoma"/>
          <w:b/>
          <w:sz w:val="24"/>
          <w:szCs w:val="24"/>
          <w:lang w:eastAsia="ru-RU"/>
        </w:rPr>
        <w:t>ООО «Экспертная организация «Воронежский центр медицинских экспертиз»</w:t>
      </w:r>
    </w:p>
    <w:p w:rsidR="00D36F17" w:rsidRPr="00D36F17" w:rsidRDefault="00D36F17" w:rsidP="00C038B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ОБЩИЕ ПОЛОЖЕНИЯ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Настоящая Политика в отношении обработки и защиты персональных данных (далее — Политика) составлена в соответствии с п. 2 ст. 18.1 Федерального закона № 152-ФЗ от 27 июля 2006 года «О персональных данных» и является внутренним документом </w:t>
      </w: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ООО «Экспертная организация «Воронежский центр медицинских экспертиз» 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(далее — Организация или Оператор), определяющим ключевые направления его деятельности в области обработки и защиты персональных данных (далее —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), оператором которых является Организация.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Политика разработана в целях реализации требований законодательства в области обработки и защиты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Положения Политики распространяются на отношения по обработке и защите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полученных до ее утверждения.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Обработка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 Организации осуществляется в связи с выполнением Организацией функций, предусмотренных ее учредительными документами, и определяемых: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Федеральным законом от 21 ноября 2011 г. № 323-ФЗ «Об основах охраны здоровья граждан в Российской Федерации»;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Постановлением Правительства РФ от 04.10.2012 №1006 «Об утверждении Правил предоставления медицинскими организациями платных медицинских услуг»;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Федеральным законом № 152-ФЗ от 27 июля 2006 года «О персональных данных»;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D36F17" w:rsidRPr="00D36F17" w:rsidRDefault="00D36F17" w:rsidP="00C038BA">
      <w:pPr>
        <w:numPr>
          <w:ilvl w:val="1"/>
          <w:numId w:val="28"/>
        </w:numPr>
        <w:shd w:val="clear" w:color="auto" w:fill="FFFFFF"/>
        <w:tabs>
          <w:tab w:val="clear" w:pos="1440"/>
          <w:tab w:val="num" w:pos="1560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иными нормативными правовыми актами Российской Федерации.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Кроме того, обработка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</w:t>
      </w:r>
    </w:p>
    <w:p w:rsidR="00D36F17" w:rsidRPr="00D36F17" w:rsidRDefault="00D36F17" w:rsidP="00C038B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D36F17" w:rsidRPr="00D36F17" w:rsidRDefault="00D36F17" w:rsidP="00C038B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ind w:left="851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Действующая редакция хранится в месте нахождения Организации по </w:t>
      </w:r>
      <w:r w:rsidR="00EA3670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юридическому адресу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</w:t>
      </w:r>
      <w:r w:rsidR="00EA3670" w:rsidRPr="000E6F5D">
        <w:rPr>
          <w:rFonts w:ascii="Tahoma" w:eastAsia="Times New Roman" w:hAnsi="Tahoma" w:cs="Tahoma"/>
          <w:sz w:val="24"/>
          <w:szCs w:val="24"/>
          <w:lang w:eastAsia="ru-RU"/>
        </w:rPr>
        <w:t>ООО «Экспертная организация «Воронежский центр медицинских экспертиз»</w:t>
      </w:r>
      <w:r w:rsidR="00EA3670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Электронная версия Политики — на сайте </w:t>
      </w:r>
      <w:r w:rsidR="00EA3670"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Организации 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</w:t>
      </w:r>
      <w:r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адресу: </w:t>
      </w:r>
      <w:hyperlink r:id="rId5" w:history="1"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https://www.</w:t>
        </w:r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val="en-US" w:eastAsia="ru-RU"/>
          </w:rPr>
          <w:t>vcme</w:t>
        </w:r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.ru</w:t>
        </w:r>
      </w:hyperlink>
      <w:r w:rsidR="00936D83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</w:p>
    <w:p w:rsidR="00D36F17" w:rsidRPr="00D36F17" w:rsidRDefault="00D36F17" w:rsidP="00C038B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ТЕРМИНЫ И ПРИНЯТЫЕ СОКРАЩЕНИЯ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Персональные данные (</w:t>
      </w:r>
      <w:proofErr w:type="spellStart"/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)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 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Обработка персональных данных 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Оператор 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Распространение персональных данных 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— действия, направленные на раскрытие персональных данных неопределенному кругу лиц;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Предоставление персональных данных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 — действия, направленные на раскрытие персональных данных определенному лицу или определенному кругу лиц;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Блокирование персональных данных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 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Уничтожение персональных данных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Обезличивание персональных данных 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Автоматизированная обработка персональных данных 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— обработка персональных данных с помощью средств вычислительной техники;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Информационная система персональных данных (ИСПД)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Пациент 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—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Медицинская деятельность — 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Лечащий врач —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 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:rsidR="00D36F17" w:rsidRPr="00D36F17" w:rsidRDefault="00D36F17" w:rsidP="00C038B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ПРИНЦИПЫ ОБЕСПЕЧЕНИЯ БЕЗОПАСНОСТИ ПЕРСОНАЛЬНЫХ ДАННЫХ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Основной задачей обеспечения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разрушения (уничтожения) или искажения их в процессе обработки.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Для обеспечения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Организация руководствуется следующими принципами: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законность: защита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системность: обработка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комплексность: защита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непрерывность: защита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в том числе при проведении ремонтных и регламентных работ;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своевременность: меры, обеспечивающие надлежащий уровень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принимаются до начала их обработки;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преемственность и непрерывность совершенствования: модернизация и наращивание мер и средств защиты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осуществляется на основании результатов анализа практики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 Организации с учетом выявления новых способов и средств реализации угроз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отечественного и зарубежного опыта в сфере защиты информации;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персональная ответственность: ответственность за обеспечение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минимизация прав доступа: доступ к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гибкость: обеспечение выполнения функций защиты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специализация и профессионализм: реализация мер по обеспечению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осуществляются Работниками, имеющими необходимые для этого квалификацию и опыт;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наблюдаемость и прозрачность: меры по обеспечению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:rsidR="00D36F17" w:rsidRPr="00D36F17" w:rsidRDefault="00D36F17" w:rsidP="00C038B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а результаты контроля регулярно анализируются.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ind w:left="13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В Организации не производится обработка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уничтожатся или обезличиваются.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 обработке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обеспечиваются их точность, достаточность, а при необходимости — и актуальность по отношению к целям обработки. Организация принимает необходимые меры по удалению или уточнению неполных или неточных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.</w:t>
      </w:r>
    </w:p>
    <w:p w:rsidR="00D36F17" w:rsidRPr="00D36F17" w:rsidRDefault="00D36F17" w:rsidP="00C038B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ОБРАБОТКА ПЕРСОНАЛЬНЫХ ДАННЫХ</w:t>
      </w:r>
    </w:p>
    <w:p w:rsidR="00D36F17" w:rsidRPr="00D36F17" w:rsidRDefault="00D36F17" w:rsidP="00C038B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Получение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</w:p>
    <w:p w:rsidR="00D36F17" w:rsidRPr="00D36F17" w:rsidRDefault="00D36F17" w:rsidP="00C038BA">
      <w:pPr>
        <w:numPr>
          <w:ilvl w:val="1"/>
          <w:numId w:val="10"/>
        </w:numPr>
        <w:shd w:val="clear" w:color="auto" w:fill="FFFFFF"/>
        <w:tabs>
          <w:tab w:val="clear" w:pos="1440"/>
          <w:tab w:val="num" w:pos="993"/>
        </w:tabs>
        <w:spacing w:before="100" w:beforeAutospacing="1" w:after="0" w:line="240" w:lineRule="auto"/>
        <w:ind w:left="993" w:hanging="426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Все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следует получать от самого субъекта. Если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D36F17" w:rsidRPr="00D36F17" w:rsidRDefault="00D36F17" w:rsidP="00C038BA">
      <w:pPr>
        <w:numPr>
          <w:ilvl w:val="1"/>
          <w:numId w:val="10"/>
        </w:numPr>
        <w:shd w:val="clear" w:color="auto" w:fill="FFFFFF"/>
        <w:tabs>
          <w:tab w:val="clear" w:pos="1440"/>
          <w:tab w:val="num" w:pos="993"/>
        </w:tabs>
        <w:spacing w:before="100" w:beforeAutospacing="1" w:after="0" w:line="240" w:lineRule="auto"/>
        <w:ind w:left="993" w:hanging="426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Оператор должен сообщить субъекту о целях, предполагаемых источниках и способах получения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характере подлежащих получению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перечне действий с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</w:p>
    <w:p w:rsidR="00D36F17" w:rsidRPr="00D36F17" w:rsidRDefault="00D36F17" w:rsidP="00C038BA">
      <w:pPr>
        <w:numPr>
          <w:ilvl w:val="1"/>
          <w:numId w:val="10"/>
        </w:numPr>
        <w:shd w:val="clear" w:color="auto" w:fill="FFFFFF"/>
        <w:tabs>
          <w:tab w:val="clear" w:pos="1440"/>
          <w:tab w:val="num" w:pos="993"/>
        </w:tabs>
        <w:spacing w:before="100" w:beforeAutospacing="1" w:after="0" w:line="240" w:lineRule="auto"/>
        <w:ind w:left="993" w:hanging="426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Документы, содержащие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создаются путем:</w:t>
      </w:r>
    </w:p>
    <w:p w:rsidR="00D36F17" w:rsidRPr="00D36F17" w:rsidRDefault="00D36F17" w:rsidP="00C038BA">
      <w:pPr>
        <w:numPr>
          <w:ilvl w:val="2"/>
          <w:numId w:val="10"/>
        </w:numPr>
        <w:shd w:val="clear" w:color="auto" w:fill="FFFFFF"/>
        <w:spacing w:before="100" w:beforeAutospacing="1" w:after="0" w:line="240" w:lineRule="auto"/>
        <w:ind w:left="193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:rsidR="00D36F17" w:rsidRPr="00D36F17" w:rsidRDefault="00D36F17" w:rsidP="00C038BA">
      <w:pPr>
        <w:numPr>
          <w:ilvl w:val="2"/>
          <w:numId w:val="10"/>
        </w:numPr>
        <w:shd w:val="clear" w:color="auto" w:fill="FFFFFF"/>
        <w:spacing w:before="100" w:beforeAutospacing="1" w:after="0" w:line="240" w:lineRule="auto"/>
        <w:ind w:left="193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внесения сведений в учетные формы;</w:t>
      </w:r>
    </w:p>
    <w:p w:rsidR="00D36F17" w:rsidRPr="00D36F17" w:rsidRDefault="00D36F17" w:rsidP="00C038BA">
      <w:pPr>
        <w:numPr>
          <w:ilvl w:val="2"/>
          <w:numId w:val="10"/>
        </w:numPr>
        <w:shd w:val="clear" w:color="auto" w:fill="FFFFFF"/>
        <w:spacing w:before="100" w:beforeAutospacing="1" w:after="0" w:line="240" w:lineRule="auto"/>
        <w:ind w:left="193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получения оригиналов необходимых документов (трудовая книжка, медицинское заключение, характеристика и др.).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Порядок доступа субъекта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к его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обрабатываемым Организацией, определяется в соответствии с действующим законодательством Российской Федерации и внутренними регулятивными документами Организации.</w:t>
      </w:r>
    </w:p>
    <w:p w:rsidR="00D36F17" w:rsidRPr="00C038BA" w:rsidRDefault="00D36F17" w:rsidP="008473F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C038BA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Обработка персональных данных осуществляется:</w:t>
      </w:r>
    </w:p>
    <w:p w:rsidR="00D36F17" w:rsidRPr="00D36F17" w:rsidRDefault="00D36F17" w:rsidP="00C038BA">
      <w:pPr>
        <w:numPr>
          <w:ilvl w:val="1"/>
          <w:numId w:val="11"/>
        </w:numPr>
        <w:shd w:val="clear" w:color="auto" w:fill="FFFFFF"/>
        <w:tabs>
          <w:tab w:val="clear" w:pos="1440"/>
          <w:tab w:val="num" w:pos="993"/>
        </w:tabs>
        <w:spacing w:before="100" w:beforeAutospacing="1" w:after="0" w:line="240" w:lineRule="auto"/>
        <w:ind w:left="993" w:hanging="426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 согласия субъекта персональных данных на обработку его персональных данных;</w:t>
      </w:r>
    </w:p>
    <w:p w:rsidR="00D36F17" w:rsidRPr="00D36F17" w:rsidRDefault="00D36F17" w:rsidP="00C038BA">
      <w:pPr>
        <w:numPr>
          <w:ilvl w:val="1"/>
          <w:numId w:val="11"/>
        </w:numPr>
        <w:shd w:val="clear" w:color="auto" w:fill="FFFFFF"/>
        <w:tabs>
          <w:tab w:val="clear" w:pos="1440"/>
          <w:tab w:val="num" w:pos="993"/>
        </w:tabs>
        <w:spacing w:before="100" w:beforeAutospacing="1" w:after="0" w:line="240" w:lineRule="auto"/>
        <w:ind w:left="993" w:hanging="426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</w:p>
    <w:p w:rsidR="00D36F17" w:rsidRPr="00D36F17" w:rsidRDefault="00D36F17" w:rsidP="00C038BA">
      <w:pPr>
        <w:numPr>
          <w:ilvl w:val="1"/>
          <w:numId w:val="11"/>
        </w:numPr>
        <w:shd w:val="clear" w:color="auto" w:fill="FFFFFF"/>
        <w:tabs>
          <w:tab w:val="clear" w:pos="1440"/>
          <w:tab w:val="num" w:pos="993"/>
        </w:tabs>
        <w:spacing w:before="100" w:beforeAutospacing="1" w:after="0" w:line="240" w:lineRule="auto"/>
        <w:ind w:left="993" w:hanging="426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персональные данные, сделанные общедоступными субъектом персональных данных).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Доступ Работников к обрабатываемым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Допущенные к обработке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Работники под роспись знакомятся с документами организации, устанавливающими порядок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включая документы, устанавливающие права и обязанности конкретных Работников.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Организацией производится устранение выявленных нарушений законодательства об обработке и защите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Цели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:</w:t>
      </w:r>
    </w:p>
    <w:p w:rsidR="00D36F17" w:rsidRPr="00D36F17" w:rsidRDefault="00D36F17" w:rsidP="00C038B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обеспечение организацией оказания </w:t>
      </w:r>
      <w:r w:rsidR="009E795A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экспертной и 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медицинской помощи населению, а также наиболее полное исполнение обязательств и компетенций в соответствии с Федеральными законами от 21 ноября 2011г № 323-ФЗ «Об основах охраны здоровья граждан Российской Федерации», от 29 ноября 2010 года № 326-ФЗ «Об обязательном медицинском страховании граждан в Российской Федерации», Правилами предоставления медицинскими организациями платных медицинских услуг, утвержденными Постановлением Правител</w:t>
      </w:r>
      <w:r w:rsidR="00936D83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ьства РФ от 4.10.</w:t>
      </w: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2012 г. № 1006;</w:t>
      </w:r>
    </w:p>
    <w:p w:rsidR="00D36F17" w:rsidRPr="00D36F17" w:rsidRDefault="00D36F17" w:rsidP="00C038B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осуществление трудовых отношений;</w:t>
      </w:r>
    </w:p>
    <w:p w:rsidR="00D36F17" w:rsidRPr="00D36F17" w:rsidRDefault="00D36F17" w:rsidP="00C038B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осуществление гражданско-правовых отношений;</w:t>
      </w:r>
    </w:p>
    <w:p w:rsidR="00D36F17" w:rsidRPr="00D36F17" w:rsidRDefault="00D36F17" w:rsidP="00C038B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для связи с пользователями сайта, в том числе путем направления уведомлений, запросов и информации, касающихся использования сайта, оказания медицинской помощи;</w:t>
      </w:r>
    </w:p>
    <w:p w:rsidR="00D36F17" w:rsidRPr="00D36F17" w:rsidRDefault="00D36F17" w:rsidP="00C038B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Организации.</w:t>
      </w:r>
    </w:p>
    <w:p w:rsidR="00D36F17" w:rsidRPr="00D36F17" w:rsidRDefault="00D36F17" w:rsidP="00C038B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Категории субъектов персональных данных.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В Организации обрабатываются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следующих субъектов: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физические лица, состоящие с Организацией в трудовых отношениях;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физические лица, являющие близкими родственниками сотрудников Организации;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физические лица, уволившиеся из Организации;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физические лица, являющиеся кандидатами на работу;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физические лица, состоящие с Организацией в гражданско-правовых отношениях;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физические лица, обратившиеся в Организацию за медицинской помощью;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физические лица, являющиеся пользователями сайта </w:t>
      </w:r>
      <w:hyperlink r:id="rId6" w:history="1"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https://www.</w:t>
        </w:r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val="en-US" w:eastAsia="ru-RU"/>
          </w:rPr>
          <w:t>vcme</w:t>
        </w:r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.ru</w:t>
        </w:r>
      </w:hyperlink>
      <w:r w:rsidR="00936D83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обрабатываемые Организацией: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данные полученные при осуществлении трудовых отношений;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данные полученные для осуществления отбора кандидатов на работу в организацию;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данные полученные при осуществлении гражданско-правовых отношений;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данные полученные при оказании медицинской помощи;</w:t>
      </w:r>
    </w:p>
    <w:p w:rsidR="00D36F17" w:rsidRPr="00D36F17" w:rsidRDefault="00D36F17" w:rsidP="00C038B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данные, полученные от пользователя сайта </w:t>
      </w:r>
      <w:hyperlink r:id="rId7" w:history="1"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https://www.</w:t>
        </w:r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val="en-US" w:eastAsia="ru-RU"/>
          </w:rPr>
          <w:t>vcme</w:t>
        </w:r>
        <w:r w:rsidR="00936D83" w:rsidRPr="00960A26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.ru</w:t>
        </w:r>
      </w:hyperlink>
      <w:r w:rsidR="00936D83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Полный список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представлен в Перечне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утвержденном директором Организации.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Обработка персональных данных ведется: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 использованием средств автоматизации;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без использования средств автоматизации.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ind w:left="13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Хранение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="009E795A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: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зафиксированные на бумажных носителях, хранятся в запираемых шкафах, либо в запираемых помещениях с ограниченным правом доступа.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Не допускается хранение и размещение документов, содержащих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в открытых электронных каталогах (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файлообменниках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) в ИСПД.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Хранение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 форме, позволяющей определить субъекта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Оператор организует хранение ПД в течение времени, установленного требованиями Трудового кодекса РФ от 30.12.2001 № 197-ФЗ, Федерального закона от 06.12.2001 № 402-ФЗ «О бухгалтерском учете», Налогового кодекса РФ (часть первая – Федеральный закон от 31.07.1998 № 146-ФЗ; часть вторая – Федеральный закон от 05.08.2000 № 117-ФЗ);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(Приложение к приказу Министерства культуры РФ от 25.08.2010 № 558).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ind w:left="13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Уничтожение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="009E795A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: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Уничтожение документов (носителей), содержащих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Уничтожение производится комиссией. Факт уничтожения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подтверждается документально актом об уничтожении носителей, подписанным членами комиссии.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Передача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Организация передает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третьим лицам в следующих случаях: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субъект выразил свое согласие на такие действия;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D36F17" w:rsidRPr="00D36F17" w:rsidRDefault="00D36F17" w:rsidP="00C038B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Перечень лиц, которым передаются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Третьи лица, которым передаются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: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Пенсионный фонд РФ для учета (на законных основаниях);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Налоговые органы РФ (на законных основаниях);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Фонд социального страхования (на законных основаниях);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Территориальный фонд обязательного медицинского страхования (на законных основаниях);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страховые медицинские организации по обязательному и добровольному медицинскому страхованию (на законных основаниях);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банки для начисления заработной платы (на основании договора);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судебные и правоохранительные органы в случаях, установленных законодательством;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бюро кредитных историй (с согласия субъекта);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организации, оказывающие Оператору услуги по сопровождению бизнеса, в случаях, когда это необходимо для получения Оператором услуг;</w:t>
      </w:r>
    </w:p>
    <w:p w:rsidR="00D36F17" w:rsidRPr="00D36F17" w:rsidRDefault="00D36F17" w:rsidP="00C038B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иные органы и организации в случаях, установленных нормативно-правовыми актами, обязательными для исполнения.</w:t>
      </w:r>
    </w:p>
    <w:p w:rsidR="00D36F17" w:rsidRPr="00D36F17" w:rsidRDefault="00D36F17" w:rsidP="00C038B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Защита персональных данных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публикаторской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и рекламной деятельности, аналитической работы.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.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Основными мерами защиты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используемыми Организацией, являются: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Назначение лица ответственного за обработку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которое осуществляет организацию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обучение и инструктаж, внутренний контроль за соблюдением Организацией и его работниками требований к защите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Определение актуальных угроз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при их обработке в ИСПД, и разработка мер и мероприятий по защите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Разработка политики в отношении обработки персональных данных;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Установление правил доступа к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обрабатываемым в ИСПД, а также обеспечения регистрации и учета всех действий, совершаемых с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 ИСПД;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Применение средств защиты информации, учет машинных носителей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обеспечение их сохранности;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Антивирусное программное обеспечение с регулярно обновляемыми базами;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Программное средство защиты информации от несанкционированного доступа;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Межсетевой экран и средство обнаружения вторжения;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Соблюдение условий, обеспечивающих сохранность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Установление правил доступа к обрабатываемым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обеспечение регистрации и учета действий, совершаемых с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а также обнаружение фактов несанкционированного доступа к персональным данным и принятия мер;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Восстановление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модифицированных или уничтоженных вследствие несанкционированного доступа к ним;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</w:t>
      </w:r>
    </w:p>
    <w:p w:rsidR="00D36F17" w:rsidRPr="00D36F17" w:rsidRDefault="00D36F17" w:rsidP="00C038B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Осуществление внутреннего контроля и аудита.</w:t>
      </w:r>
    </w:p>
    <w:p w:rsidR="00D36F17" w:rsidRPr="00D36F17" w:rsidRDefault="00D36F17" w:rsidP="00C038BA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Основные права субъекта </w:t>
      </w:r>
      <w:proofErr w:type="spellStart"/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 xml:space="preserve"> и обязанности Организации</w:t>
      </w:r>
    </w:p>
    <w:p w:rsidR="00D36F17" w:rsidRPr="00D36F17" w:rsidRDefault="00D36F17" w:rsidP="00C038BA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Основные права субъекта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Субъект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подтверждение факта обработки персональных данных оператором;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цели и применяемые оператором способы обработки персональных данных;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сроки обработки персональных данных, в том числе сроки их хранения;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информацию об осуществленной или о предполагаемой трансграничной передаче данных;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D36F17" w:rsidRPr="00D36F17" w:rsidRDefault="00D36F17" w:rsidP="00C038B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иные сведения, предусмотренные настоящим Федеральным законом или другими федеральными законами.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Субъект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D36F17" w:rsidRPr="00D36F17" w:rsidRDefault="00D36F17" w:rsidP="00C038B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Обязанности Организации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Организация обязана:</w:t>
      </w:r>
    </w:p>
    <w:p w:rsidR="00D36F17" w:rsidRPr="00D36F17" w:rsidRDefault="00D36F17" w:rsidP="00C038B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 сборе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предоставить информацию об обработке его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в случаях если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были получены не от субъекта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уведомить субъекта;</w:t>
      </w:r>
    </w:p>
    <w:p w:rsidR="00D36F17" w:rsidRPr="00D36F17" w:rsidRDefault="00D36F17" w:rsidP="00C038B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 отказе в предоставлении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субъекту разъясняются последствия такого отказа;</w:t>
      </w:r>
    </w:p>
    <w:p w:rsidR="00D36F17" w:rsidRPr="00D36F17" w:rsidRDefault="00D36F17" w:rsidP="00C038B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к сведениям о реализуемых требованиях к защите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proofErr w:type="gram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proofErr w:type="gram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а также от иных неправомерных действий в отношении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давать ответы на запросы и обращения субъектов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, их представителей и уполномоченного органа по защите прав субъектов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.</w:t>
      </w:r>
    </w:p>
    <w:p w:rsidR="00D36F17" w:rsidRPr="00D36F17" w:rsidRDefault="00D36F17" w:rsidP="00C038BA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ОСОБЕННОСТИ ОБРАБОТКИ И ЗАЩИТЫ ДАННЫХ, СОБИРАЕМЫХ С ИСПОЛЬЗОВАНИЕМ СЕТИ ИНТЕРНЕТ</w:t>
      </w:r>
    </w:p>
    <w:p w:rsidR="00D36F17" w:rsidRPr="00D36F17" w:rsidRDefault="00D36F17" w:rsidP="00C038BA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Существуют два основных способа, с помощью которых Оператор получает данные с помощью сети Интернет:</w:t>
      </w:r>
    </w:p>
    <w:p w:rsidR="00D36F17" w:rsidRPr="00D36F17" w:rsidRDefault="00D36F17" w:rsidP="00C038BA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Предоставление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субъектами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путем заполнения форм сайта Организации;</w:t>
      </w:r>
    </w:p>
    <w:p w:rsidR="00D36F17" w:rsidRPr="00D36F17" w:rsidRDefault="00D36F17" w:rsidP="00C038BA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Автоматически собираемая информация.</w:t>
      </w:r>
    </w:p>
    <w:p w:rsidR="00D36F17" w:rsidRPr="00D36F17" w:rsidRDefault="00D36F17" w:rsidP="00C038B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Оператор может собирать и обрабатывать сведения, не являющиеся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:</w:t>
      </w:r>
    </w:p>
    <w:p w:rsidR="00D36F17" w:rsidRPr="00D36F17" w:rsidRDefault="00D36F17" w:rsidP="00C038BA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информацию об интересах Пользователей на Сайте на основе введенных поисковых запросов пользователей Сайта о реализуемых и предлагаемых к продаже услуг, товаров с целью предоставления актуальной информации Пользователям при использовании Сайта, а также обобщения и анализа информации, о том какие разделы Сайта, услуги, товары пользуются наибольшим спросом у Пользователей Сайта;</w:t>
      </w:r>
    </w:p>
    <w:p w:rsidR="00D36F17" w:rsidRPr="00D36F17" w:rsidRDefault="00D36F17" w:rsidP="00C038BA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обработка и хранение поисковых запросов Пользователей Сайта с целью обобщения и создания статистики об использовании разделов Сайта.</w:t>
      </w:r>
    </w:p>
    <w:p w:rsidR="00D36F17" w:rsidRPr="00D36F17" w:rsidRDefault="00D36F17" w:rsidP="00C038BA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Оператор автоматически получает некоторые виды информации, получаемой в процессе взаимодействия Пользователей с Сайтом, переписки по электронной почте и т. п. Речь идет о технологиях и сервисах, таких как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сookie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Веб — отметки, а также приложения и инструменты Пользователя.</w:t>
      </w:r>
    </w:p>
    <w:p w:rsidR="00D36F17" w:rsidRPr="00D36F17" w:rsidRDefault="00D36F17" w:rsidP="00C038BA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 этом Веб — отметки,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сookie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и другие мониторинговые технологии не дают возможность автоматически получать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. Если Пользователь Сайта по своему усмотрению предоставляет свои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например, при заполнении формы обратной связи, то только тогда запускаются процессы автоматического сбора подробной информации для удобства пользования Сайтом и/или для совершенствования взаимодействия с Пользователями.</w:t>
      </w:r>
    </w:p>
    <w:p w:rsidR="00D36F17" w:rsidRPr="00D36F17" w:rsidRDefault="00D36F17" w:rsidP="00C038BA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b/>
          <w:bCs/>
          <w:color w:val="363636"/>
          <w:sz w:val="24"/>
          <w:szCs w:val="24"/>
          <w:lang w:eastAsia="ru-RU"/>
        </w:rPr>
        <w:t>ЗАКЛЮЧИТЕЛЬНЫЕ ПОЛОЖЕНИЯ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Настоящая Политика является локальным нормативным актом Организации.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Настоящая Политика является общедоступной. Общедоступность настоящей Политики обеспечивается публикацией на сайте Организации.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Настоящая Политика может быть пересмотрена в любом из следующих случаев: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при изменении законодательства Российской Федерации в области обработки и защиты персональных данных;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в случаях получения предписаний от компетентных государственных органов на устранение несоответствий, затрагивающих область действия Политики;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по решению Организации;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 изменении целей и сроков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;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при изменении организационной структуры, структуры информационных и/или телекоммуникационных систем (или введении новых);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 применении новых технологий обработки и защиты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 (в т. ч. передачи, хранения);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при появлении необходимости в изменении процесса обработки </w:t>
      </w:r>
      <w:proofErr w:type="spellStart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ПДн</w:t>
      </w:r>
      <w:proofErr w:type="spellEnd"/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, связанной с деятельностью Оператора.</w:t>
      </w:r>
    </w:p>
    <w:p w:rsidR="00D36F17" w:rsidRPr="00D36F17" w:rsidRDefault="00D36F17" w:rsidP="00C038BA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495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 w:rsidRPr="00D36F17"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>В случае неисполнения положений настоящей Политики Организация и ее работники несут ответственность в соответствии с действующим законодательством Российской Федерации.</w:t>
      </w:r>
    </w:p>
    <w:p w:rsidR="00747F21" w:rsidRDefault="00747F21" w:rsidP="00C038BA">
      <w:pPr>
        <w:shd w:val="clear" w:color="auto" w:fill="FFFFFF"/>
        <w:spacing w:before="100" w:beforeAutospacing="1" w:after="0" w:line="240" w:lineRule="auto"/>
      </w:pPr>
    </w:p>
    <w:sectPr w:rsidR="00747F21" w:rsidSect="0017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7581"/>
    <w:multiLevelType w:val="multilevel"/>
    <w:tmpl w:val="2AB6E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E07CD"/>
    <w:multiLevelType w:val="multilevel"/>
    <w:tmpl w:val="DB4E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431A0"/>
    <w:multiLevelType w:val="multilevel"/>
    <w:tmpl w:val="0618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6348F"/>
    <w:multiLevelType w:val="multilevel"/>
    <w:tmpl w:val="18109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71C10"/>
    <w:multiLevelType w:val="multilevel"/>
    <w:tmpl w:val="A7E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5641C"/>
    <w:multiLevelType w:val="multilevel"/>
    <w:tmpl w:val="8092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A0451"/>
    <w:multiLevelType w:val="multilevel"/>
    <w:tmpl w:val="77D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6628D"/>
    <w:multiLevelType w:val="multilevel"/>
    <w:tmpl w:val="1CE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05FD5"/>
    <w:multiLevelType w:val="multilevel"/>
    <w:tmpl w:val="970634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9">
    <w:nsid w:val="27A81D72"/>
    <w:multiLevelType w:val="multilevel"/>
    <w:tmpl w:val="C19C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012FD"/>
    <w:multiLevelType w:val="multilevel"/>
    <w:tmpl w:val="57BC2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33C4B"/>
    <w:multiLevelType w:val="multilevel"/>
    <w:tmpl w:val="8410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4C64"/>
    <w:multiLevelType w:val="multilevel"/>
    <w:tmpl w:val="DB7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E541E"/>
    <w:multiLevelType w:val="multilevel"/>
    <w:tmpl w:val="7F1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042D7"/>
    <w:multiLevelType w:val="multilevel"/>
    <w:tmpl w:val="008AE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73E53"/>
    <w:multiLevelType w:val="multilevel"/>
    <w:tmpl w:val="7562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93CF3"/>
    <w:multiLevelType w:val="multilevel"/>
    <w:tmpl w:val="DCDC8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DB1495"/>
    <w:multiLevelType w:val="multilevel"/>
    <w:tmpl w:val="9CBEB7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B2030"/>
    <w:multiLevelType w:val="multilevel"/>
    <w:tmpl w:val="110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26253"/>
    <w:multiLevelType w:val="multilevel"/>
    <w:tmpl w:val="8F5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277C2A"/>
    <w:multiLevelType w:val="multilevel"/>
    <w:tmpl w:val="6B36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AD67C6"/>
    <w:multiLevelType w:val="hybridMultilevel"/>
    <w:tmpl w:val="365E157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6B5AD4"/>
    <w:multiLevelType w:val="multilevel"/>
    <w:tmpl w:val="65FCD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7D776D"/>
    <w:multiLevelType w:val="multilevel"/>
    <w:tmpl w:val="D668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A31879"/>
    <w:multiLevelType w:val="multilevel"/>
    <w:tmpl w:val="2F5E8C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94E07EA"/>
    <w:multiLevelType w:val="multilevel"/>
    <w:tmpl w:val="BB449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44573"/>
    <w:multiLevelType w:val="multilevel"/>
    <w:tmpl w:val="FF10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7327E"/>
    <w:multiLevelType w:val="multilevel"/>
    <w:tmpl w:val="740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21"/>
  </w:num>
  <w:num w:numId="4">
    <w:abstractNumId w:val="26"/>
  </w:num>
  <w:num w:numId="5">
    <w:abstractNumId w:val="7"/>
  </w:num>
  <w:num w:numId="6">
    <w:abstractNumId w:val="16"/>
  </w:num>
  <w:num w:numId="7">
    <w:abstractNumId w:val="0"/>
  </w:num>
  <w:num w:numId="8">
    <w:abstractNumId w:val="23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19"/>
  </w:num>
  <w:num w:numId="14">
    <w:abstractNumId w:val="6"/>
  </w:num>
  <w:num w:numId="15">
    <w:abstractNumId w:val="20"/>
  </w:num>
  <w:num w:numId="16">
    <w:abstractNumId w:val="25"/>
  </w:num>
  <w:num w:numId="17">
    <w:abstractNumId w:val="13"/>
  </w:num>
  <w:num w:numId="18">
    <w:abstractNumId w:val="14"/>
  </w:num>
  <w:num w:numId="19">
    <w:abstractNumId w:val="9"/>
  </w:num>
  <w:num w:numId="20">
    <w:abstractNumId w:val="15"/>
  </w:num>
  <w:num w:numId="21">
    <w:abstractNumId w:val="4"/>
  </w:num>
  <w:num w:numId="22">
    <w:abstractNumId w:val="8"/>
  </w:num>
  <w:num w:numId="23">
    <w:abstractNumId w:val="17"/>
  </w:num>
  <w:num w:numId="24">
    <w:abstractNumId w:val="18"/>
  </w:num>
  <w:num w:numId="25">
    <w:abstractNumId w:val="27"/>
  </w:num>
  <w:num w:numId="26">
    <w:abstractNumId w:val="22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8"/>
    <w:rsid w:val="00092F1D"/>
    <w:rsid w:val="000E6F5D"/>
    <w:rsid w:val="001773F8"/>
    <w:rsid w:val="001815B9"/>
    <w:rsid w:val="002B1F89"/>
    <w:rsid w:val="00314D53"/>
    <w:rsid w:val="005D48AD"/>
    <w:rsid w:val="00747F21"/>
    <w:rsid w:val="007A5538"/>
    <w:rsid w:val="00936D83"/>
    <w:rsid w:val="009E795A"/>
    <w:rsid w:val="00A5639A"/>
    <w:rsid w:val="00BA37F7"/>
    <w:rsid w:val="00BF5FB9"/>
    <w:rsid w:val="00C038BA"/>
    <w:rsid w:val="00D36F17"/>
    <w:rsid w:val="00E73010"/>
    <w:rsid w:val="00EA3670"/>
    <w:rsid w:val="00F62841"/>
    <w:rsid w:val="00F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33EEA-4381-4E62-81FB-DCC2AC25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3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48AD"/>
    <w:pPr>
      <w:ind w:left="720"/>
      <w:contextualSpacing/>
    </w:pPr>
  </w:style>
  <w:style w:type="character" w:styleId="a6">
    <w:name w:val="Strong"/>
    <w:basedOn w:val="a0"/>
    <w:uiPriority w:val="22"/>
    <w:qFormat/>
    <w:rsid w:val="00D36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0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c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cme.ru" TargetMode="External"/><Relationship Id="rId5" Type="http://schemas.openxmlformats.org/officeDocument/2006/relationships/hyperlink" Target="https://www.vcm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</cp:revision>
  <dcterms:created xsi:type="dcterms:W3CDTF">2019-01-13T19:25:00Z</dcterms:created>
  <dcterms:modified xsi:type="dcterms:W3CDTF">2019-01-13T19:25:00Z</dcterms:modified>
</cp:coreProperties>
</file>